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center"/>
        <w:outlineLvl w:val="0"/>
        <w:rPr>
          <w:rFonts w:ascii="黑体" w:cs="宋体"/>
          <w:b/>
          <w:color w:val="000000"/>
          <w:spacing w:val="6"/>
          <w:kern w:val="0"/>
          <w:sz w:val="32"/>
          <w:szCs w:val="32"/>
        </w:rPr>
      </w:pPr>
      <w:r>
        <w:rPr>
          <w:rFonts w:hint="eastAsia" w:ascii="黑体" w:cs="宋体"/>
          <w:b/>
          <w:color w:val="000000"/>
          <w:spacing w:val="6"/>
          <w:kern w:val="0"/>
          <w:sz w:val="32"/>
          <w:szCs w:val="32"/>
        </w:rPr>
        <w:t>金融学辅修专业学士学位教学计划</w:t>
      </w:r>
    </w:p>
    <w:p>
      <w:pPr>
        <w:adjustRightInd w:val="0"/>
        <w:snapToGrid w:val="0"/>
        <w:spacing w:afterLines="50"/>
        <w:jc w:val="center"/>
        <w:rPr>
          <w:rFonts w:ascii="宋体" w:hAnsi="宋体" w:eastAsia="华文行楷" w:cs="宋体"/>
          <w:b/>
          <w:color w:val="000000"/>
          <w:spacing w:val="-2"/>
          <w:kern w:val="0"/>
          <w:position w:val="8"/>
          <w:sz w:val="24"/>
        </w:rPr>
      </w:pPr>
    </w:p>
    <w:p>
      <w:pPr>
        <w:widowControl/>
        <w:spacing w:line="360" w:lineRule="auto"/>
        <w:jc w:val="left"/>
        <w:rPr>
          <w:rFonts w:ascii="Garamond" w:hAnsi="Garamond" w:cs="Garamond"/>
          <w:color w:val="000000"/>
          <w:spacing w:val="6"/>
          <w:kern w:val="0"/>
          <w:position w:val="8"/>
          <w:sz w:val="24"/>
        </w:rPr>
      </w:pPr>
      <w:r>
        <w:rPr>
          <w:rFonts w:ascii="Garamond" w:hAnsi="Garamond" w:cs="Garamond"/>
          <w:color w:val="000000"/>
          <w:spacing w:val="6"/>
          <w:kern w:val="0"/>
          <w:sz w:val="24"/>
        </w:rPr>
        <w:t>主办院校：上海外国语大学</w:t>
      </w:r>
    </w:p>
    <w:p>
      <w:pPr>
        <w:widowControl/>
        <w:snapToGrid w:val="0"/>
        <w:spacing w:line="360" w:lineRule="auto"/>
        <w:ind w:left="1260" w:hanging="1260"/>
        <w:jc w:val="left"/>
        <w:rPr>
          <w:rFonts w:ascii="Garamond" w:hAnsi="Garamond" w:cs="Garamond"/>
          <w:color w:val="000000"/>
          <w:spacing w:val="6"/>
          <w:kern w:val="0"/>
          <w:sz w:val="24"/>
        </w:rPr>
      </w:pPr>
      <w:r>
        <w:rPr>
          <w:rFonts w:ascii="Garamond" w:hAnsi="Garamond" w:cs="Garamond"/>
          <w:color w:val="000000"/>
          <w:spacing w:val="6"/>
          <w:kern w:val="0"/>
          <w:sz w:val="24"/>
        </w:rPr>
        <w:t>教学目标：</w:t>
      </w:r>
      <w:r>
        <w:rPr>
          <w:rFonts w:hint="eastAsia" w:ascii="Garamond" w:hAnsi="Garamond" w:cs="Garamond"/>
          <w:color w:val="000000"/>
          <w:spacing w:val="6"/>
          <w:kern w:val="0"/>
          <w:sz w:val="24"/>
        </w:rPr>
        <w:t>上海外国语大学国际金融贸易学院根据国家发展需求，践行我校“多语种+”国际化人才培养战略，整合校内外教育资源，积极建设多语种金融人才培养项目。该计划旨在培养具有金融专业知识和业务实践技能，同时精通外语，具备国际视野，通晓国际规则，能参与国际竞争的国际企业及银行、证券、保险、基金等金融机构中的复合型金融管理人才。</w:t>
      </w:r>
    </w:p>
    <w:p>
      <w:pPr>
        <w:widowControl/>
        <w:snapToGrid w:val="0"/>
        <w:spacing w:line="360" w:lineRule="auto"/>
        <w:ind w:left="1260" w:firstLine="16"/>
        <w:jc w:val="left"/>
        <w:rPr>
          <w:rFonts w:ascii="Garamond" w:hAnsi="Garamond" w:cs="Garamond"/>
          <w:color w:val="000000"/>
          <w:spacing w:val="6"/>
          <w:kern w:val="0"/>
          <w:sz w:val="24"/>
        </w:rPr>
      </w:pPr>
      <w:r>
        <w:rPr>
          <w:rFonts w:ascii="Garamond" w:hAnsi="Garamond" w:cs="Garamond"/>
          <w:color w:val="000000"/>
          <w:spacing w:val="6"/>
          <w:kern w:val="0"/>
          <w:sz w:val="24"/>
        </w:rPr>
        <w:t>学习目标分两阶段。第一阶段为期两年，40学分，完成后获辅修第二专业证书。</w:t>
      </w:r>
    </w:p>
    <w:p>
      <w:pPr>
        <w:widowControl/>
        <w:snapToGrid w:val="0"/>
        <w:spacing w:line="360" w:lineRule="auto"/>
        <w:ind w:left="1260" w:firstLine="16"/>
        <w:jc w:val="left"/>
        <w:rPr>
          <w:rFonts w:ascii="Garamond" w:hAnsi="Garamond" w:cs="Garamond"/>
          <w:color w:val="000000"/>
          <w:spacing w:val="6"/>
          <w:kern w:val="0"/>
          <w:sz w:val="24"/>
        </w:rPr>
      </w:pPr>
      <w:r>
        <w:rPr>
          <w:rFonts w:ascii="Garamond" w:hAnsi="Garamond" w:cs="Garamond"/>
          <w:color w:val="000000"/>
          <w:spacing w:val="6"/>
          <w:kern w:val="0"/>
          <w:sz w:val="24"/>
        </w:rPr>
        <w:t>第二阶段</w:t>
      </w:r>
      <w:r>
        <w:rPr>
          <w:rFonts w:hint="eastAsia" w:ascii="Garamond" w:hAnsi="Garamond" w:cs="Garamond"/>
          <w:color w:val="000000"/>
          <w:spacing w:val="6"/>
          <w:kern w:val="0"/>
          <w:sz w:val="24"/>
        </w:rPr>
        <w:t>需修满</w:t>
      </w:r>
      <w:r>
        <w:rPr>
          <w:rFonts w:ascii="Garamond" w:hAnsi="Garamond" w:cs="Garamond"/>
          <w:color w:val="000000"/>
          <w:spacing w:val="6"/>
          <w:kern w:val="0"/>
          <w:sz w:val="24"/>
        </w:rPr>
        <w:t>20学分，学习对象为完成前两年辅修专业课程学习且主修专业属非</w:t>
      </w:r>
      <w:r>
        <w:rPr>
          <w:rFonts w:hint="eastAsia" w:ascii="Garamond" w:hAnsi="Garamond" w:cs="Garamond"/>
          <w:color w:val="000000"/>
          <w:spacing w:val="6"/>
          <w:kern w:val="0"/>
          <w:sz w:val="24"/>
        </w:rPr>
        <w:t>经济学专业</w:t>
      </w:r>
      <w:r>
        <w:rPr>
          <w:rFonts w:ascii="Garamond" w:hAnsi="Garamond" w:cs="Garamond"/>
          <w:color w:val="000000"/>
          <w:spacing w:val="6"/>
          <w:kern w:val="0"/>
          <w:sz w:val="24"/>
        </w:rPr>
        <w:t>的学生</w:t>
      </w:r>
      <w:r>
        <w:rPr>
          <w:rFonts w:hint="eastAsia" w:ascii="Garamond" w:hAnsi="Garamond" w:cs="Garamond"/>
          <w:color w:val="000000"/>
          <w:spacing w:val="6"/>
          <w:kern w:val="0"/>
          <w:sz w:val="24"/>
        </w:rPr>
        <w:t>。</w:t>
      </w:r>
      <w:r>
        <w:rPr>
          <w:rFonts w:ascii="Garamond" w:hAnsi="Garamond" w:cs="Garamond"/>
          <w:color w:val="000000"/>
          <w:spacing w:val="6"/>
          <w:kern w:val="0"/>
          <w:sz w:val="24"/>
        </w:rPr>
        <w:t>符合三年平均绩点达到2.0以上等条件可获得辅修</w:t>
      </w:r>
      <w:r>
        <w:rPr>
          <w:rFonts w:hint="eastAsia" w:ascii="Garamond" w:hAnsi="Garamond" w:cs="Garamond"/>
          <w:color w:val="000000"/>
          <w:spacing w:val="6"/>
          <w:kern w:val="0"/>
          <w:sz w:val="24"/>
        </w:rPr>
        <w:t>经济</w:t>
      </w:r>
      <w:r>
        <w:rPr>
          <w:rFonts w:ascii="Garamond" w:hAnsi="Garamond" w:cs="Garamond"/>
          <w:color w:val="000000"/>
          <w:spacing w:val="6"/>
          <w:kern w:val="0"/>
          <w:sz w:val="24"/>
        </w:rPr>
        <w:t>学学士学位证书。颁发学位证书的条件和具体办法按《上海松江大学园区辅修专业学士学位管理试行办法》执行。</w:t>
      </w:r>
    </w:p>
    <w:p>
      <w:pPr>
        <w:widowControl/>
        <w:snapToGrid w:val="0"/>
        <w:spacing w:line="360" w:lineRule="auto"/>
        <w:ind w:left="1260" w:hanging="1260"/>
        <w:jc w:val="left"/>
        <w:rPr>
          <w:rFonts w:ascii="Garamond" w:hAnsi="Garamond" w:cs="Garamond"/>
          <w:color w:val="000000"/>
          <w:spacing w:val="6"/>
          <w:kern w:val="0"/>
          <w:sz w:val="24"/>
        </w:rPr>
      </w:pPr>
      <w:r>
        <w:rPr>
          <w:rFonts w:ascii="Garamond" w:hAnsi="Garamond" w:cs="Garamond"/>
          <w:color w:val="000000"/>
          <w:spacing w:val="6"/>
          <w:kern w:val="0"/>
          <w:sz w:val="24"/>
        </w:rPr>
        <w:t>招生要求：</w:t>
      </w:r>
      <w:r>
        <w:rPr>
          <w:rFonts w:hint="eastAsia" w:ascii="宋体" w:hAnsi="宋体" w:cs="宋体"/>
          <w:color w:val="000000"/>
          <w:spacing w:val="6"/>
          <w:kern w:val="0"/>
          <w:sz w:val="24"/>
        </w:rPr>
        <w:t>招收本科在校完成一年级基础课程的外语专业学生。</w:t>
      </w:r>
      <w:r>
        <w:rPr>
          <w:rFonts w:ascii="Garamond" w:hAnsi="Garamond" w:cs="Garamond"/>
          <w:color w:val="000000"/>
          <w:spacing w:val="6"/>
          <w:kern w:val="0"/>
          <w:sz w:val="24"/>
        </w:rPr>
        <w:t>招生人数：</w:t>
      </w:r>
      <w:r>
        <w:rPr>
          <w:rFonts w:hint="eastAsia" w:ascii="Garamond" w:hAnsi="Garamond" w:cs="Garamond"/>
          <w:color w:val="000000"/>
          <w:spacing w:val="6"/>
          <w:kern w:val="0"/>
          <w:sz w:val="24"/>
        </w:rPr>
        <w:t>6</w:t>
      </w:r>
      <w:r>
        <w:rPr>
          <w:rFonts w:ascii="Garamond" w:hAnsi="Garamond" w:cs="Garamond"/>
          <w:color w:val="000000"/>
          <w:spacing w:val="6"/>
          <w:kern w:val="0"/>
          <w:sz w:val="24"/>
        </w:rPr>
        <w:t>0人</w:t>
      </w:r>
    </w:p>
    <w:p>
      <w:pPr>
        <w:widowControl/>
        <w:snapToGrid w:val="0"/>
        <w:spacing w:line="360" w:lineRule="auto"/>
        <w:ind w:left="1260" w:hanging="1260"/>
        <w:jc w:val="left"/>
        <w:rPr>
          <w:rFonts w:ascii="Garamond" w:hAnsi="Garamond" w:cs="Garamond"/>
          <w:color w:val="000000"/>
          <w:spacing w:val="6"/>
          <w:kern w:val="0"/>
          <w:sz w:val="24"/>
        </w:rPr>
      </w:pPr>
      <w:r>
        <w:rPr>
          <w:rFonts w:ascii="Garamond" w:hAnsi="Garamond" w:cs="Garamond"/>
          <w:color w:val="000000"/>
          <w:spacing w:val="6"/>
          <w:kern w:val="0"/>
          <w:sz w:val="24"/>
        </w:rPr>
        <w:t>授课时间：每周一、三晚上3学时，周五下午4学时。</w:t>
      </w:r>
    </w:p>
    <w:p>
      <w:pPr>
        <w:widowControl/>
        <w:snapToGrid w:val="0"/>
        <w:spacing w:line="360" w:lineRule="auto"/>
        <w:ind w:left="1260" w:hanging="1260"/>
        <w:jc w:val="left"/>
        <w:rPr>
          <w:rFonts w:ascii="Garamond" w:hAnsi="Garamond" w:cs="Garamond"/>
          <w:color w:val="000000"/>
          <w:spacing w:val="6"/>
          <w:kern w:val="0"/>
          <w:sz w:val="24"/>
        </w:rPr>
      </w:pPr>
      <w:r>
        <w:rPr>
          <w:rFonts w:ascii="Garamond" w:hAnsi="Garamond" w:cs="Garamond"/>
          <w:color w:val="000000"/>
          <w:spacing w:val="6"/>
          <w:kern w:val="0"/>
          <w:sz w:val="24"/>
        </w:rPr>
        <w:t>授课地点：上海外国语大学松江校区</w:t>
      </w:r>
    </w:p>
    <w:p>
      <w:pPr>
        <w:widowControl/>
        <w:snapToGrid w:val="0"/>
        <w:spacing w:line="360" w:lineRule="auto"/>
        <w:ind w:left="1260" w:hanging="1260"/>
        <w:jc w:val="left"/>
        <w:rPr>
          <w:rFonts w:ascii="Garamond" w:hAnsi="Garamond" w:cs="Garamond"/>
          <w:bCs/>
          <w:color w:val="000000"/>
          <w:spacing w:val="6"/>
          <w:kern w:val="0"/>
          <w:sz w:val="24"/>
        </w:rPr>
      </w:pPr>
      <w:r>
        <w:rPr>
          <w:rFonts w:ascii="Garamond" w:hAnsi="Garamond" w:cs="Garamond"/>
          <w:color w:val="000000"/>
          <w:spacing w:val="6"/>
          <w:kern w:val="0"/>
          <w:sz w:val="24"/>
        </w:rPr>
        <w:t>收费标准：</w:t>
      </w:r>
      <w:r>
        <w:rPr>
          <w:rFonts w:hint="eastAsia" w:ascii="Garamond" w:hAnsi="Garamond" w:cs="Garamond"/>
          <w:color w:val="000000"/>
          <w:spacing w:val="6"/>
          <w:kern w:val="0"/>
          <w:sz w:val="24"/>
        </w:rPr>
        <w:t>220</w:t>
      </w:r>
      <w:r>
        <w:rPr>
          <w:rFonts w:ascii="Garamond" w:hAnsi="Garamond" w:cs="Garamond"/>
          <w:bCs/>
          <w:color w:val="000000"/>
          <w:spacing w:val="6"/>
          <w:kern w:val="0"/>
          <w:sz w:val="24"/>
        </w:rPr>
        <w:t>元/1学分</w:t>
      </w:r>
    </w:p>
    <w:p>
      <w:pPr>
        <w:snapToGrid w:val="0"/>
        <w:spacing w:line="360" w:lineRule="auto"/>
        <w:ind w:left="1260" w:hanging="1260"/>
        <w:rPr>
          <w:rFonts w:ascii="Garamond" w:hAnsi="Garamond" w:cs="Garamond"/>
          <w:bCs/>
          <w:color w:val="000000"/>
          <w:spacing w:val="6"/>
          <w:kern w:val="0"/>
          <w:sz w:val="24"/>
        </w:rPr>
      </w:pPr>
      <w:r>
        <w:rPr>
          <w:rFonts w:ascii="Garamond" w:hAnsi="Garamond" w:cs="Garamond"/>
          <w:color w:val="000000"/>
          <w:spacing w:val="6"/>
          <w:kern w:val="0"/>
          <w:sz w:val="24"/>
        </w:rPr>
        <w:t>网上查询</w:t>
      </w:r>
      <w:r>
        <w:rPr>
          <w:rFonts w:ascii="Garamond" w:hAnsi="Garamond" w:cs="Garamond"/>
          <w:color w:val="000000"/>
          <w:spacing w:val="6"/>
          <w:kern w:val="0"/>
          <w:sz w:val="24"/>
        </w:rPr>
        <w:tab/>
      </w:r>
      <w:r>
        <w:rPr>
          <w:rFonts w:ascii="Garamond" w:hAnsi="Garamond" w:cs="Garamond"/>
          <w:bCs/>
          <w:color w:val="000000"/>
          <w:spacing w:val="6"/>
          <w:kern w:val="0"/>
          <w:sz w:val="24"/>
        </w:rPr>
        <w:t>教学计划、相关管理条例及招生录取工作可查询上海外国语大学教务处网站（网址：</w:t>
      </w:r>
      <w:r>
        <w:fldChar w:fldCharType="begin"/>
      </w:r>
      <w:r>
        <w:instrText xml:space="preserve"> HYPERLINK "http://ofd.shisu.edu.cn/" </w:instrText>
      </w:r>
      <w:r>
        <w:fldChar w:fldCharType="separate"/>
      </w:r>
      <w:r>
        <w:rPr>
          <w:rFonts w:ascii="Garamond" w:hAnsi="Garamond" w:cs="Garamond"/>
          <w:bCs/>
          <w:color w:val="000000"/>
          <w:kern w:val="0"/>
          <w:sz w:val="24"/>
        </w:rPr>
        <w:t>http://www.oaa.shisu.edu.cn</w:t>
      </w:r>
      <w:r>
        <w:rPr>
          <w:rFonts w:ascii="Garamond" w:hAnsi="Garamond" w:cs="Garamond"/>
          <w:bCs/>
          <w:color w:val="000000"/>
          <w:kern w:val="0"/>
          <w:sz w:val="24"/>
        </w:rPr>
        <w:fldChar w:fldCharType="end"/>
      </w:r>
      <w:r>
        <w:rPr>
          <w:rFonts w:ascii="Garamond" w:hAnsi="Garamond" w:cs="Garamond"/>
          <w:bCs/>
          <w:color w:val="000000"/>
          <w:spacing w:val="6"/>
          <w:kern w:val="0"/>
          <w:sz w:val="24"/>
        </w:rPr>
        <w:t>）的</w:t>
      </w:r>
      <w:r>
        <w:rPr>
          <w:rFonts w:hint="eastAsia" w:ascii="Garamond" w:hAnsi="Garamond" w:cs="Garamond"/>
          <w:bCs/>
          <w:color w:val="000000"/>
          <w:spacing w:val="6"/>
          <w:kern w:val="0"/>
          <w:sz w:val="24"/>
        </w:rPr>
        <w:t>“</w:t>
      </w:r>
      <w:r>
        <w:rPr>
          <w:rFonts w:ascii="Garamond" w:hAnsi="Garamond" w:cs="Garamond"/>
          <w:bCs/>
          <w:color w:val="000000"/>
          <w:spacing w:val="6"/>
          <w:kern w:val="0"/>
          <w:sz w:val="24"/>
        </w:rPr>
        <w:t>重要通知</w:t>
      </w:r>
      <w:r>
        <w:rPr>
          <w:rFonts w:hint="eastAsia" w:ascii="Garamond" w:hAnsi="Garamond" w:cs="Garamond"/>
          <w:bCs/>
          <w:color w:val="000000"/>
          <w:spacing w:val="6"/>
          <w:kern w:val="0"/>
          <w:sz w:val="24"/>
        </w:rPr>
        <w:t>”</w:t>
      </w:r>
      <w:r>
        <w:rPr>
          <w:rFonts w:ascii="Garamond" w:hAnsi="Garamond" w:cs="Garamond"/>
          <w:bCs/>
          <w:color w:val="000000"/>
          <w:spacing w:val="6"/>
          <w:kern w:val="0"/>
          <w:sz w:val="24"/>
        </w:rPr>
        <w:t>和</w:t>
      </w:r>
      <w:r>
        <w:rPr>
          <w:rFonts w:hint="eastAsia" w:ascii="Garamond" w:hAnsi="Garamond" w:cs="Garamond"/>
          <w:bCs/>
          <w:color w:val="000000"/>
          <w:spacing w:val="6"/>
          <w:kern w:val="0"/>
          <w:sz w:val="24"/>
        </w:rPr>
        <w:t>“</w:t>
      </w:r>
      <w:r>
        <w:rPr>
          <w:rFonts w:ascii="Garamond" w:hAnsi="Garamond" w:cs="Garamond"/>
          <w:bCs/>
          <w:color w:val="000000"/>
          <w:spacing w:val="6"/>
          <w:kern w:val="0"/>
          <w:sz w:val="24"/>
        </w:rPr>
        <w:t>人才培养</w:t>
      </w:r>
      <w:r>
        <w:rPr>
          <w:rFonts w:hint="eastAsia" w:ascii="Garamond" w:hAnsi="Garamond" w:cs="Garamond"/>
          <w:bCs/>
          <w:color w:val="000000"/>
          <w:spacing w:val="6"/>
          <w:kern w:val="0"/>
          <w:sz w:val="24"/>
        </w:rPr>
        <w:t>”</w:t>
      </w:r>
      <w:r>
        <w:rPr>
          <w:rFonts w:ascii="Garamond" w:hAnsi="Garamond" w:cs="Garamond"/>
          <w:bCs/>
          <w:color w:val="000000"/>
          <w:spacing w:val="6"/>
          <w:kern w:val="0"/>
          <w:sz w:val="24"/>
        </w:rPr>
        <w:t>栏目下属的</w:t>
      </w:r>
      <w:r>
        <w:rPr>
          <w:rFonts w:hint="eastAsia" w:ascii="Garamond" w:hAnsi="Garamond" w:cs="Garamond"/>
          <w:bCs/>
          <w:color w:val="000000"/>
          <w:spacing w:val="6"/>
          <w:kern w:val="0"/>
          <w:sz w:val="24"/>
        </w:rPr>
        <w:t>“</w:t>
      </w:r>
      <w:r>
        <w:rPr>
          <w:rFonts w:ascii="Garamond" w:hAnsi="Garamond" w:cs="Garamond"/>
          <w:bCs/>
          <w:color w:val="000000"/>
          <w:spacing w:val="6"/>
          <w:kern w:val="0"/>
          <w:sz w:val="24"/>
        </w:rPr>
        <w:t>辅修专业</w:t>
      </w:r>
      <w:r>
        <w:rPr>
          <w:rFonts w:hint="eastAsia" w:ascii="Garamond" w:hAnsi="Garamond" w:cs="Garamond"/>
          <w:bCs/>
          <w:color w:val="000000"/>
          <w:spacing w:val="6"/>
          <w:kern w:val="0"/>
          <w:sz w:val="24"/>
        </w:rPr>
        <w:t>”</w:t>
      </w:r>
      <w:r>
        <w:rPr>
          <w:rFonts w:ascii="Garamond" w:hAnsi="Garamond" w:cs="Garamond"/>
          <w:bCs/>
          <w:color w:val="000000"/>
          <w:spacing w:val="6"/>
          <w:kern w:val="0"/>
          <w:sz w:val="24"/>
        </w:rPr>
        <w:t>。</w:t>
      </w: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ascii="黑体" w:cs="宋体"/>
          <w:bCs/>
          <w:color w:val="000000"/>
          <w:spacing w:val="6"/>
          <w:kern w:val="0"/>
          <w:sz w:val="24"/>
        </w:rPr>
        <w:br w:type="page"/>
      </w:r>
      <w:r>
        <w:rPr>
          <w:rFonts w:hint="eastAsia" w:ascii="宋体"/>
          <w:b/>
          <w:sz w:val="30"/>
          <w:szCs w:val="30"/>
        </w:rPr>
        <w:t>教学计划</w:t>
      </w:r>
    </w:p>
    <w:tbl>
      <w:tblPr>
        <w:tblStyle w:val="3"/>
        <w:tblpPr w:leftFromText="180" w:rightFromText="180" w:vertAnchor="text" w:horzAnchor="margin" w:tblpX="-252" w:tblpY="158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3434"/>
        <w:gridCol w:w="709"/>
        <w:gridCol w:w="567"/>
        <w:gridCol w:w="656"/>
        <w:gridCol w:w="499"/>
        <w:gridCol w:w="499"/>
        <w:gridCol w:w="499"/>
        <w:gridCol w:w="499"/>
        <w:gridCol w:w="499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  <w:r>
              <w:rPr>
                <w:rFonts w:ascii="Garamond" w:eastAsia="黑体"/>
                <w:sz w:val="24"/>
              </w:rPr>
              <w:t>序号</w:t>
            </w:r>
          </w:p>
        </w:tc>
        <w:tc>
          <w:tcPr>
            <w:tcW w:w="3434" w:type="dxa"/>
            <w:vMerge w:val="restart"/>
            <w:vAlign w:val="center"/>
          </w:tcPr>
          <w:p>
            <w:pPr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  <w:r>
              <w:rPr>
                <w:rFonts w:ascii="Garamond" w:eastAsia="黑体"/>
                <w:sz w:val="24"/>
              </w:rPr>
              <w:t>课</w:t>
            </w:r>
            <w:r>
              <w:rPr>
                <w:rFonts w:ascii="Garamond" w:hAnsi="Garamond" w:eastAsia="黑体"/>
                <w:sz w:val="24"/>
              </w:rPr>
              <w:t xml:space="preserve"> </w:t>
            </w:r>
            <w:r>
              <w:rPr>
                <w:rFonts w:ascii="Garamond" w:eastAsia="黑体"/>
                <w:sz w:val="24"/>
              </w:rPr>
              <w:t>程</w:t>
            </w:r>
            <w:r>
              <w:rPr>
                <w:rFonts w:ascii="Garamond" w:hAnsi="Garamond" w:eastAsia="黑体"/>
                <w:sz w:val="24"/>
              </w:rPr>
              <w:t xml:space="preserve"> </w:t>
            </w:r>
            <w:r>
              <w:rPr>
                <w:rFonts w:ascii="Garamond" w:eastAsia="黑体"/>
                <w:sz w:val="24"/>
              </w:rPr>
              <w:t>名</w:t>
            </w:r>
            <w:r>
              <w:rPr>
                <w:rFonts w:ascii="Garamond" w:hAnsi="Garamond" w:eastAsia="黑体"/>
                <w:sz w:val="24"/>
              </w:rPr>
              <w:t xml:space="preserve"> </w:t>
            </w:r>
            <w:r>
              <w:rPr>
                <w:rFonts w:ascii="Garamond" w:eastAsia="黑体"/>
                <w:sz w:val="24"/>
              </w:rPr>
              <w:t>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  <w:r>
              <w:rPr>
                <w:rFonts w:ascii="Garamond" w:eastAsia="黑体"/>
                <w:sz w:val="24"/>
              </w:rPr>
              <w:t>课程编号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  <w:r>
              <w:rPr>
                <w:rFonts w:ascii="Garamond" w:eastAsia="黑体"/>
                <w:sz w:val="24"/>
              </w:rPr>
              <w:t>学分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Garamond" w:hAnsi="Garamond" w:eastAsia="黑体"/>
                <w:sz w:val="24"/>
              </w:rPr>
            </w:pPr>
            <w:r>
              <w:rPr>
                <w:rFonts w:ascii="Garamond" w:eastAsia="黑体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  <w:r>
              <w:rPr>
                <w:rFonts w:ascii="Garamond" w:eastAsia="黑体"/>
                <w:sz w:val="24"/>
              </w:rPr>
              <w:t>时</w:t>
            </w:r>
          </w:p>
        </w:tc>
        <w:tc>
          <w:tcPr>
            <w:tcW w:w="299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  <w:r>
              <w:rPr>
                <w:rFonts w:ascii="Garamond" w:eastAsia="黑体"/>
                <w:sz w:val="24"/>
              </w:rPr>
              <w:t>各</w:t>
            </w:r>
            <w:r>
              <w:rPr>
                <w:rFonts w:ascii="Garamond" w:hAnsi="Garamond" w:eastAsia="黑体"/>
                <w:sz w:val="24"/>
              </w:rPr>
              <w:t xml:space="preserve"> </w:t>
            </w:r>
            <w:r>
              <w:rPr>
                <w:rFonts w:ascii="Garamond" w:eastAsia="黑体"/>
                <w:sz w:val="24"/>
              </w:rPr>
              <w:t>学</w:t>
            </w:r>
            <w:r>
              <w:rPr>
                <w:rFonts w:ascii="Garamond" w:hAnsi="Garamond" w:eastAsia="黑体"/>
                <w:sz w:val="24"/>
              </w:rPr>
              <w:t xml:space="preserve"> </w:t>
            </w:r>
            <w:r>
              <w:rPr>
                <w:rFonts w:ascii="Garamond" w:eastAsia="黑体"/>
                <w:sz w:val="24"/>
              </w:rPr>
              <w:t>期</w:t>
            </w:r>
            <w:r>
              <w:rPr>
                <w:rFonts w:ascii="Garamond" w:hAnsi="Garamond" w:eastAsia="黑体"/>
                <w:sz w:val="24"/>
              </w:rPr>
              <w:t xml:space="preserve"> </w:t>
            </w:r>
            <w:r>
              <w:rPr>
                <w:rFonts w:ascii="Garamond" w:eastAsia="黑体"/>
                <w:sz w:val="24"/>
              </w:rPr>
              <w:t>周</w:t>
            </w:r>
            <w:r>
              <w:rPr>
                <w:rFonts w:ascii="Garamond" w:hAnsi="Garamond" w:eastAsia="黑体"/>
                <w:sz w:val="24"/>
              </w:rPr>
              <w:t xml:space="preserve"> </w:t>
            </w:r>
            <w:r>
              <w:rPr>
                <w:rFonts w:ascii="Garamond" w:eastAsia="黑体"/>
                <w:sz w:val="24"/>
              </w:rPr>
              <w:t>学</w:t>
            </w:r>
            <w:r>
              <w:rPr>
                <w:rFonts w:ascii="Garamond" w:hAnsi="Garamond" w:eastAsia="黑体"/>
                <w:sz w:val="24"/>
              </w:rPr>
              <w:t xml:space="preserve"> </w:t>
            </w:r>
            <w:r>
              <w:rPr>
                <w:rFonts w:ascii="Garamond" w:eastAsia="黑体"/>
                <w:sz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</w:p>
        </w:tc>
        <w:tc>
          <w:tcPr>
            <w:tcW w:w="34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</w:p>
        </w:tc>
        <w:tc>
          <w:tcPr>
            <w:tcW w:w="499" w:type="dxa"/>
          </w:tcPr>
          <w:p>
            <w:pPr>
              <w:adjustRightInd w:val="0"/>
              <w:snapToGrid w:val="0"/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  <w:r>
              <w:rPr>
                <w:rFonts w:ascii="Garamond" w:eastAsia="黑体"/>
                <w:sz w:val="24"/>
              </w:rPr>
              <w:t>三</w:t>
            </w:r>
          </w:p>
        </w:tc>
        <w:tc>
          <w:tcPr>
            <w:tcW w:w="499" w:type="dxa"/>
          </w:tcPr>
          <w:p>
            <w:pPr>
              <w:adjustRightInd w:val="0"/>
              <w:snapToGrid w:val="0"/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  <w:r>
              <w:rPr>
                <w:rFonts w:ascii="Garamond" w:eastAsia="黑体"/>
                <w:sz w:val="24"/>
              </w:rPr>
              <w:t>四</w:t>
            </w:r>
          </w:p>
        </w:tc>
        <w:tc>
          <w:tcPr>
            <w:tcW w:w="499" w:type="dxa"/>
          </w:tcPr>
          <w:p>
            <w:pPr>
              <w:adjustRightInd w:val="0"/>
              <w:snapToGrid w:val="0"/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  <w:r>
              <w:rPr>
                <w:rFonts w:ascii="Garamond" w:eastAsia="黑体"/>
                <w:sz w:val="24"/>
              </w:rPr>
              <w:t>五</w:t>
            </w:r>
          </w:p>
        </w:tc>
        <w:tc>
          <w:tcPr>
            <w:tcW w:w="499" w:type="dxa"/>
          </w:tcPr>
          <w:p>
            <w:pPr>
              <w:adjustRightInd w:val="0"/>
              <w:snapToGrid w:val="0"/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  <w:r>
              <w:rPr>
                <w:rFonts w:ascii="Garamond" w:eastAsia="黑体"/>
                <w:sz w:val="24"/>
              </w:rPr>
              <w:t>六</w:t>
            </w:r>
          </w:p>
        </w:tc>
        <w:tc>
          <w:tcPr>
            <w:tcW w:w="499" w:type="dxa"/>
          </w:tcPr>
          <w:p>
            <w:pPr>
              <w:adjustRightInd w:val="0"/>
              <w:snapToGrid w:val="0"/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  <w:r>
              <w:rPr>
                <w:rFonts w:ascii="Garamond" w:eastAsia="黑体"/>
                <w:sz w:val="24"/>
              </w:rPr>
              <w:t>七</w:t>
            </w:r>
          </w:p>
        </w:tc>
        <w:tc>
          <w:tcPr>
            <w:tcW w:w="499" w:type="dxa"/>
          </w:tcPr>
          <w:p>
            <w:pPr>
              <w:adjustRightInd w:val="0"/>
              <w:snapToGrid w:val="0"/>
              <w:jc w:val="center"/>
              <w:rPr>
                <w:rFonts w:ascii="Garamond" w:hAnsi="Garamond" w:eastAsia="黑体"/>
                <w:spacing w:val="-2"/>
                <w:position w:val="8"/>
                <w:sz w:val="24"/>
              </w:rPr>
            </w:pPr>
            <w:r>
              <w:rPr>
                <w:rFonts w:ascii="Garamond" w:eastAsia="黑体"/>
                <w:sz w:val="24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经济数学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Garamond" w:hAnsi="Garamond"/>
                <w:spacing w:val="-2"/>
                <w:position w:val="8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微观经济学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60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财务会计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货币金融学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宏观经济学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ind w:firstLine="109" w:firstLineChars="50"/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国际贸易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国际结算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国际金融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60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金融市场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金融实验与模拟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保险学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 w:cs="宋体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  <w:highlight w:val="yellow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公司金融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60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商业银行理论与实务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证券投资学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60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金融衍生品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公司治理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中国金融专题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45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3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Garamond" w:hAnsi="Garamond"/>
                <w:sz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</w:rPr>
            </w:pPr>
            <w:r>
              <w:rPr>
                <w:rFonts w:hint="eastAsia" w:ascii="宋体" w:hAnsi="宋体"/>
                <w:color w:val="000000"/>
                <w:spacing w:val="4"/>
              </w:rPr>
              <w:t>学位</w:t>
            </w:r>
            <w:r>
              <w:rPr>
                <w:rFonts w:ascii="宋体" w:hAnsi="宋体"/>
                <w:color w:val="000000"/>
                <w:spacing w:val="4"/>
              </w:rPr>
              <w:t>论文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宋体" w:hAnsi="宋体"/>
                <w:color w:val="000000"/>
                <w:spacing w:val="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黑体" w:hAnsi="Garamond" w:eastAsia="黑体"/>
                <w:spacing w:val="-2"/>
                <w:position w:val="8"/>
                <w:sz w:val="24"/>
              </w:rPr>
            </w:pPr>
            <w:r>
              <w:rPr>
                <w:rFonts w:hint="eastAsia" w:ascii="黑体" w:hAnsi="Garamond" w:eastAsia="黑体"/>
                <w:sz w:val="24"/>
              </w:rPr>
              <w:t>合  计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黑体" w:hAnsi="Garamond" w:eastAsia="黑体"/>
                <w:spacing w:val="-2"/>
                <w:position w:val="8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黑体" w:hAnsi="Garamond" w:eastAsia="黑体"/>
                <w:b/>
                <w:bCs/>
                <w:spacing w:val="-2"/>
                <w:position w:val="8"/>
                <w:sz w:val="24"/>
              </w:rPr>
            </w:pPr>
            <w:r>
              <w:rPr>
                <w:rFonts w:hint="eastAsia" w:ascii="黑体" w:hAnsi="Garamond" w:eastAsia="黑体"/>
                <w:b/>
                <w:bCs/>
                <w:sz w:val="24"/>
              </w:rPr>
              <w:t>60</w:t>
            </w:r>
          </w:p>
        </w:tc>
        <w:tc>
          <w:tcPr>
            <w:tcW w:w="656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黑体" w:hAnsi="Garamond" w:eastAsia="黑体"/>
                <w:b/>
                <w:bCs/>
                <w:spacing w:val="-2"/>
                <w:position w:val="8"/>
                <w:sz w:val="24"/>
              </w:rPr>
            </w:pPr>
            <w:r>
              <w:rPr>
                <w:rFonts w:hint="eastAsia" w:ascii="黑体" w:hAnsi="Garamond" w:eastAsia="黑体"/>
                <w:b/>
                <w:bCs/>
                <w:sz w:val="24"/>
              </w:rPr>
              <w:t>900</w:t>
            </w:r>
          </w:p>
        </w:tc>
        <w:tc>
          <w:tcPr>
            <w:tcW w:w="49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黑体" w:hAnsi="Garamond" w:eastAsia="黑体"/>
                <w:b/>
                <w:bCs/>
                <w:spacing w:val="-2"/>
                <w:position w:val="8"/>
                <w:sz w:val="24"/>
              </w:rPr>
            </w:pPr>
            <w:r>
              <w:rPr>
                <w:rFonts w:hint="eastAsia" w:ascii="黑体" w:hAnsi="Garamond" w:eastAsia="黑体"/>
                <w:b/>
                <w:bCs/>
                <w:spacing w:val="-2"/>
                <w:position w:val="8"/>
                <w:sz w:val="24"/>
              </w:rPr>
              <w:t>10</w:t>
            </w:r>
          </w:p>
        </w:tc>
        <w:tc>
          <w:tcPr>
            <w:tcW w:w="49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黑体" w:hAnsi="Garamond" w:eastAsia="黑体"/>
                <w:b/>
                <w:bCs/>
                <w:spacing w:val="-2"/>
                <w:position w:val="8"/>
                <w:sz w:val="24"/>
              </w:rPr>
            </w:pPr>
            <w:r>
              <w:rPr>
                <w:rFonts w:hint="eastAsia" w:ascii="黑体" w:hAnsi="Garamond" w:eastAsia="黑体"/>
                <w:b/>
                <w:bCs/>
                <w:spacing w:val="-2"/>
                <w:position w:val="8"/>
                <w:sz w:val="24"/>
              </w:rPr>
              <w:t>10</w:t>
            </w:r>
          </w:p>
        </w:tc>
        <w:tc>
          <w:tcPr>
            <w:tcW w:w="49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黑体" w:hAnsi="Garamond" w:eastAsia="黑体"/>
                <w:b/>
                <w:bCs/>
                <w:spacing w:val="-2"/>
                <w:position w:val="8"/>
                <w:sz w:val="24"/>
              </w:rPr>
            </w:pPr>
            <w:r>
              <w:rPr>
                <w:rFonts w:hint="eastAsia" w:ascii="黑体" w:hAnsi="Garamond" w:eastAsia="黑体"/>
                <w:b/>
                <w:bCs/>
                <w:spacing w:val="-2"/>
                <w:position w:val="8"/>
                <w:sz w:val="24"/>
              </w:rPr>
              <w:t>10</w:t>
            </w:r>
          </w:p>
        </w:tc>
        <w:tc>
          <w:tcPr>
            <w:tcW w:w="49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黑体" w:hAnsi="Garamond" w:eastAsia="黑体"/>
                <w:b/>
                <w:bCs/>
                <w:spacing w:val="-2"/>
                <w:position w:val="8"/>
                <w:sz w:val="24"/>
              </w:rPr>
            </w:pPr>
            <w:r>
              <w:rPr>
                <w:rFonts w:hint="eastAsia" w:ascii="黑体" w:hAnsi="Garamond" w:eastAsia="黑体"/>
                <w:b/>
                <w:bCs/>
                <w:spacing w:val="-2"/>
                <w:position w:val="8"/>
                <w:sz w:val="24"/>
              </w:rPr>
              <w:t>10</w:t>
            </w:r>
          </w:p>
        </w:tc>
        <w:tc>
          <w:tcPr>
            <w:tcW w:w="499" w:type="dxa"/>
            <w:vAlign w:val="center"/>
          </w:tcPr>
          <w:p>
            <w:pPr>
              <w:adjustRightInd w:val="0"/>
              <w:snapToGrid w:val="0"/>
              <w:spacing w:before="120"/>
              <w:rPr>
                <w:rFonts w:ascii="黑体" w:hAnsi="Garamond" w:eastAsia="黑体"/>
                <w:b/>
                <w:bCs/>
                <w:spacing w:val="-2"/>
                <w:position w:val="8"/>
                <w:sz w:val="24"/>
              </w:rPr>
            </w:pPr>
            <w:r>
              <w:rPr>
                <w:rFonts w:hint="eastAsia" w:ascii="黑体" w:hAnsi="Garamond" w:eastAsia="黑体"/>
                <w:b/>
                <w:bCs/>
                <w:spacing w:val="-2"/>
                <w:position w:val="8"/>
                <w:sz w:val="24"/>
              </w:rPr>
              <w:t>10</w:t>
            </w:r>
          </w:p>
        </w:tc>
        <w:tc>
          <w:tcPr>
            <w:tcW w:w="499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黑体" w:hAnsi="Garamond" w:eastAsia="黑体"/>
                <w:b/>
                <w:bCs/>
                <w:spacing w:val="-2"/>
                <w:position w:val="8"/>
                <w:sz w:val="24"/>
              </w:rPr>
            </w:pPr>
            <w:r>
              <w:rPr>
                <w:rFonts w:hint="eastAsia" w:ascii="黑体" w:hAnsi="Garamond" w:eastAsia="黑体"/>
                <w:b/>
                <w:bCs/>
                <w:spacing w:val="-2"/>
                <w:position w:val="8"/>
                <w:sz w:val="24"/>
              </w:rPr>
              <w:t>10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  <w:font w:name="Adobe Garamond Pro">
    <w:panose1 w:val="02020502060506020403"/>
    <w:charset w:val="00"/>
    <w:family w:val="roman"/>
    <w:pitch w:val="default"/>
    <w:sig w:usb0="00000007" w:usb1="00000001" w:usb2="00000000" w:usb3="00000000" w:csb0="2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dobe Garamond Pro">
    <w:panose1 w:val="02020502060506020403"/>
    <w:charset w:val="00"/>
    <w:family w:val="roman"/>
    <w:pitch w:val="default"/>
    <w:sig w:usb0="00000007" w:usb1="00000001" w:usb2="00000000" w:usb3="00000000" w:csb0="2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5539576">
    <w:nsid w:val="6FCA7678"/>
    <w:multiLevelType w:val="multilevel"/>
    <w:tmpl w:val="6FCA7678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755395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33B12"/>
    <w:rsid w:val="72E33B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2016-05-14T03:27:00Z</dcterms:created>
  <dc:creator>毅</dc:creator>
  <cp:lastModifiedBy>毅</cp:lastModifiedBy>
  <dcterms:modified xsi:type="dcterms:W3CDTF">2016-05-14T03:28:07Z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